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E388" w14:textId="0538171F" w:rsidR="00F41BE5" w:rsidRDefault="004C5E7F" w:rsidP="007317F9">
      <w:pPr>
        <w:pStyle w:val="1"/>
        <w:rPr>
          <w:rtl/>
        </w:rPr>
      </w:pPr>
      <w:r>
        <w:rPr>
          <w:rFonts w:hint="cs"/>
          <w:rtl/>
        </w:rPr>
        <w:t xml:space="preserve">חיי אישות אחרי </w:t>
      </w:r>
      <w:r w:rsidR="007317F9">
        <w:rPr>
          <w:rFonts w:hint="cs"/>
          <w:rtl/>
        </w:rPr>
        <w:t>גירושין אזרחיים</w:t>
      </w:r>
    </w:p>
    <w:p w14:paraId="05EC83F6" w14:textId="2B3FBCE5" w:rsidR="007317F9" w:rsidRDefault="007317F9" w:rsidP="00EB1FDE">
      <w:pPr>
        <w:pStyle w:val="2"/>
        <w:rPr>
          <w:rtl/>
        </w:rPr>
      </w:pPr>
      <w:r>
        <w:rPr>
          <w:rtl/>
        </w:rPr>
        <w:t>שאלה</w:t>
      </w:r>
    </w:p>
    <w:p w14:paraId="6E5666E2" w14:textId="5D8F2FDC" w:rsidR="007317F9" w:rsidRDefault="007317F9" w:rsidP="007317F9">
      <w:pPr>
        <w:rPr>
          <w:rFonts w:cs="Arial"/>
          <w:rtl/>
        </w:rPr>
      </w:pPr>
      <w:r>
        <w:rPr>
          <w:rFonts w:cs="Arial"/>
          <w:rtl/>
        </w:rPr>
        <w:t>בס"ד שלום רב, קרוב משפחה שלי בחו"ל נשאל שאלה וביקש ממני את חוות דעתי ולא מצאתי אסמכתא ולכן אני פונה אליכם. בקצרה, הוא מכיר משפחה דתית, שהאם עושה דברים לא ראויים (ממונית) הלכו למשטרה, התגרשו אזרחית בעירייה. ועכשיו היא מורחקת ולא תפגע בהם. אומר אב המשפחה שעדיין רוצה להיפגש עם אשתו, שעדיין אוהב אותה. שמותר לו לפגוש אותה. קרוב המשפחה שלי אמר לו שהוא צריך לשאול רב , זה לא נשמע הגיוני וראוי. אמרתי שלעניות דעתי, גירושין בעירייה, זה כלום. אבל אנסה למצוא משהו כתוב בנושא. חיפשתי ולא מצאתי. אודה לדעת את ההלכה או להפניה למקורות. תודה רבה! אהרן</w:t>
      </w:r>
    </w:p>
    <w:p w14:paraId="0775C287" w14:textId="09D38004" w:rsidR="007317F9" w:rsidRDefault="007317F9" w:rsidP="00EB1FDE">
      <w:pPr>
        <w:pStyle w:val="2"/>
        <w:rPr>
          <w:rtl/>
        </w:rPr>
      </w:pPr>
      <w:r>
        <w:rPr>
          <w:rFonts w:hint="cs"/>
          <w:rtl/>
        </w:rPr>
        <w:t>תשובה</w:t>
      </w:r>
    </w:p>
    <w:p w14:paraId="1A7B6AFC" w14:textId="3EA5FFD7" w:rsidR="00BB665D" w:rsidRPr="00CC6E2A" w:rsidRDefault="00BB665D" w:rsidP="00EB1FDE">
      <w:pPr>
        <w:rPr>
          <w:b/>
          <w:bCs/>
          <w:rtl/>
        </w:rPr>
      </w:pPr>
      <w:r w:rsidRPr="00CC6E2A">
        <w:rPr>
          <w:rFonts w:hint="cs"/>
          <w:b/>
          <w:bCs/>
          <w:rtl/>
        </w:rPr>
        <w:t xml:space="preserve">א. האם </w:t>
      </w:r>
      <w:r w:rsidR="00CC6E2A" w:rsidRPr="00CC6E2A">
        <w:rPr>
          <w:rFonts w:hint="cs"/>
          <w:b/>
          <w:bCs/>
          <w:rtl/>
        </w:rPr>
        <w:t>גירושין אזרחיים תקפים מבחינה הלכתית</w:t>
      </w:r>
    </w:p>
    <w:p w14:paraId="476EDA84" w14:textId="66D52864" w:rsidR="007317F9" w:rsidRDefault="007317F9" w:rsidP="00EB1FDE">
      <w:pPr>
        <w:rPr>
          <w:rFonts w:cs="Arial"/>
          <w:rtl/>
        </w:rPr>
      </w:pPr>
      <w:r>
        <w:rPr>
          <w:rFonts w:hint="cs"/>
          <w:rtl/>
        </w:rPr>
        <w:t xml:space="preserve">גירושין אזרחיים אינם נחשבים כגירושין. כתב </w:t>
      </w:r>
      <w:r>
        <w:rPr>
          <w:rFonts w:cs="Arial"/>
          <w:rtl/>
        </w:rPr>
        <w:t xml:space="preserve">שולחן ערוך </w:t>
      </w:r>
      <w:r>
        <w:rPr>
          <w:rFonts w:cs="Arial" w:hint="cs"/>
          <w:rtl/>
        </w:rPr>
        <w:t>(</w:t>
      </w:r>
      <w:r>
        <w:rPr>
          <w:rFonts w:cs="Arial"/>
          <w:rtl/>
        </w:rPr>
        <w:t xml:space="preserve">אבן העזר סימן </w:t>
      </w:r>
      <w:proofErr w:type="spellStart"/>
      <w:r>
        <w:rPr>
          <w:rFonts w:cs="Arial"/>
          <w:rtl/>
        </w:rPr>
        <w:t>קנ</w:t>
      </w:r>
      <w:proofErr w:type="spellEnd"/>
      <w:r>
        <w:rPr>
          <w:rFonts w:cs="Arial"/>
          <w:rtl/>
        </w:rPr>
        <w:t xml:space="preserve"> סעיף א</w:t>
      </w:r>
      <w:r>
        <w:rPr>
          <w:rFonts w:cs="Arial" w:hint="cs"/>
          <w:rtl/>
        </w:rPr>
        <w:t>): "</w:t>
      </w:r>
      <w:r>
        <w:rPr>
          <w:rFonts w:cs="Arial"/>
          <w:rtl/>
        </w:rPr>
        <w:t xml:space="preserve">כל גט שהוא בטל מן התורה, אם </w:t>
      </w:r>
      <w:proofErr w:type="spellStart"/>
      <w:r>
        <w:rPr>
          <w:rFonts w:cs="Arial"/>
          <w:rtl/>
        </w:rPr>
        <w:t>נתגרשה</w:t>
      </w:r>
      <w:proofErr w:type="spellEnd"/>
      <w:r>
        <w:rPr>
          <w:rFonts w:cs="Arial"/>
          <w:rtl/>
        </w:rPr>
        <w:t xml:space="preserve"> בו עדיין היא אשת איש גמורה</w:t>
      </w:r>
      <w:r>
        <w:rPr>
          <w:rFonts w:cs="Arial" w:hint="cs"/>
          <w:rtl/>
        </w:rPr>
        <w:t>"</w:t>
      </w:r>
      <w:r>
        <w:rPr>
          <w:rFonts w:cs="Arial"/>
          <w:rtl/>
        </w:rPr>
        <w:t>.</w:t>
      </w:r>
      <w:r>
        <w:rPr>
          <w:rFonts w:cs="Arial" w:hint="cs"/>
          <w:rtl/>
        </w:rPr>
        <w:t xml:space="preserve"> ושם </w:t>
      </w:r>
      <w:proofErr w:type="spellStart"/>
      <w:r>
        <w:rPr>
          <w:rFonts w:cs="Arial" w:hint="cs"/>
          <w:rtl/>
        </w:rPr>
        <w:t>בסעי</w:t>
      </w:r>
      <w:proofErr w:type="spellEnd"/>
      <w:r>
        <w:rPr>
          <w:rFonts w:cs="Arial" w:hint="cs"/>
          <w:rtl/>
        </w:rPr>
        <w:t>' ג מבואר: "</w:t>
      </w:r>
      <w:r w:rsidRPr="007317F9">
        <w:rPr>
          <w:rFonts w:cs="Arial"/>
          <w:rtl/>
        </w:rPr>
        <w:t>כל גט שהוא בטל מן התורה, אם היה בעלה כהן לא נאסרה עליו משום גרושה</w:t>
      </w:r>
      <w:r>
        <w:rPr>
          <w:rFonts w:cs="Arial" w:hint="cs"/>
          <w:rtl/>
        </w:rPr>
        <w:t>", אם כן גירושין אזרחיים שאינם מתיימרים אפילו לה</w:t>
      </w:r>
      <w:r w:rsidR="00954EA2">
        <w:rPr>
          <w:rFonts w:cs="Arial" w:hint="cs"/>
          <w:rtl/>
        </w:rPr>
        <w:t>יו</w:t>
      </w:r>
      <w:r>
        <w:rPr>
          <w:rFonts w:cs="Arial" w:hint="cs"/>
          <w:rtl/>
        </w:rPr>
        <w:t xml:space="preserve">ת גט </w:t>
      </w:r>
      <w:r w:rsidR="00915675">
        <w:rPr>
          <w:rFonts w:cs="Arial" w:hint="cs"/>
          <w:rtl/>
        </w:rPr>
        <w:t xml:space="preserve">הלכתי </w:t>
      </w:r>
      <w:r>
        <w:rPr>
          <w:rFonts w:cs="Arial" w:hint="cs"/>
          <w:rtl/>
        </w:rPr>
        <w:t xml:space="preserve">אינם כלום והאישה נחשבת נשואה לבעלה. </w:t>
      </w:r>
      <w:r w:rsidR="00F86AD4">
        <w:rPr>
          <w:rFonts w:cs="Arial" w:hint="cs"/>
          <w:rtl/>
        </w:rPr>
        <w:t>בשו"ע (אבן העזר סימן צ סעיף ה) כתב הרמ"א</w:t>
      </w:r>
      <w:r w:rsidR="00D74489">
        <w:rPr>
          <w:rFonts w:cs="Arial" w:hint="cs"/>
          <w:rtl/>
        </w:rPr>
        <w:t xml:space="preserve"> לעניין ירושה</w:t>
      </w:r>
      <w:r w:rsidR="00F86AD4">
        <w:rPr>
          <w:rFonts w:cs="Arial" w:hint="cs"/>
          <w:rtl/>
        </w:rPr>
        <w:t>: "</w:t>
      </w:r>
      <w:r w:rsidR="00D74489" w:rsidRPr="00D74489">
        <w:rPr>
          <w:rFonts w:cs="Arial"/>
          <w:rtl/>
        </w:rPr>
        <w:t xml:space="preserve">כל זמן שלא </w:t>
      </w:r>
      <w:proofErr w:type="spellStart"/>
      <w:r w:rsidR="00D74489" w:rsidRPr="00D74489">
        <w:rPr>
          <w:rFonts w:cs="Arial"/>
          <w:rtl/>
        </w:rPr>
        <w:t>נתגרשה</w:t>
      </w:r>
      <w:proofErr w:type="spellEnd"/>
      <w:r w:rsidR="00D74489" w:rsidRPr="00D74489">
        <w:rPr>
          <w:rFonts w:cs="Arial"/>
          <w:rtl/>
        </w:rPr>
        <w:t>, אף על גב שנתן עיניו לגרש, יורשה</w:t>
      </w:r>
      <w:r w:rsidR="00D74489">
        <w:rPr>
          <w:rFonts w:cs="Arial" w:hint="cs"/>
          <w:rtl/>
        </w:rPr>
        <w:t>"</w:t>
      </w:r>
      <w:r w:rsidR="00D74489" w:rsidRPr="00D74489">
        <w:rPr>
          <w:rFonts w:cs="Arial"/>
          <w:rtl/>
        </w:rPr>
        <w:t>.</w:t>
      </w:r>
      <w:r w:rsidR="00D74489">
        <w:rPr>
          <w:rFonts w:cs="Arial" w:hint="cs"/>
          <w:rtl/>
        </w:rPr>
        <w:t xml:space="preserve"> ומכאן הסיק </w:t>
      </w:r>
      <w:proofErr w:type="spellStart"/>
      <w:r w:rsidR="00D74489">
        <w:rPr>
          <w:rFonts w:cs="Arial" w:hint="cs"/>
          <w:rtl/>
        </w:rPr>
        <w:t>בשו"ת</w:t>
      </w:r>
      <w:proofErr w:type="spellEnd"/>
      <w:r w:rsidR="00D74489">
        <w:rPr>
          <w:rFonts w:cs="Arial" w:hint="cs"/>
          <w:rtl/>
        </w:rPr>
        <w:t xml:space="preserve"> ציץ אליעזר (חלק יא סימן פא אות ד) שבני זוג שהתגרשו בגירושין אזרחיים הבעל והאישה חייבים בדיני אבלות האחד על השני, ולדעתו גם </w:t>
      </w:r>
      <w:r w:rsidR="0070652F">
        <w:rPr>
          <w:rFonts w:cs="Arial" w:hint="cs"/>
          <w:rtl/>
        </w:rPr>
        <w:t xml:space="preserve">הבעל </w:t>
      </w:r>
      <w:r w:rsidR="00D74489">
        <w:rPr>
          <w:rFonts w:cs="Arial" w:hint="cs"/>
          <w:rtl/>
        </w:rPr>
        <w:t xml:space="preserve">יורש </w:t>
      </w:r>
      <w:r w:rsidR="0070652F">
        <w:rPr>
          <w:rFonts w:cs="Arial" w:hint="cs"/>
          <w:rtl/>
        </w:rPr>
        <w:t>את אשתו</w:t>
      </w:r>
      <w:r w:rsidR="00EB1FDE">
        <w:rPr>
          <w:rStyle w:val="a9"/>
          <w:rFonts w:cs="Arial"/>
          <w:rtl/>
        </w:rPr>
        <w:footnoteReference w:id="1"/>
      </w:r>
      <w:r w:rsidR="00EB1FDE">
        <w:rPr>
          <w:rFonts w:cs="Arial" w:hint="cs"/>
          <w:rtl/>
        </w:rPr>
        <w:t>.</w:t>
      </w:r>
    </w:p>
    <w:p w14:paraId="6A24D7F4" w14:textId="34DA857D" w:rsidR="00013069" w:rsidRPr="00CC6E2A" w:rsidRDefault="00CC6E2A" w:rsidP="007317F9">
      <w:pPr>
        <w:rPr>
          <w:rFonts w:cs="Arial"/>
          <w:b/>
          <w:bCs/>
          <w:rtl/>
        </w:rPr>
      </w:pPr>
      <w:r w:rsidRPr="00CC6E2A">
        <w:rPr>
          <w:rFonts w:cs="Arial" w:hint="cs"/>
          <w:b/>
          <w:bCs/>
          <w:rtl/>
        </w:rPr>
        <w:t>ב. גרושת הלב</w:t>
      </w:r>
    </w:p>
    <w:p w14:paraId="40DDB91B" w14:textId="25D3359D" w:rsidR="00F31D7F" w:rsidRDefault="00FC523E" w:rsidP="00845222">
      <w:pPr>
        <w:rPr>
          <w:rFonts w:cs="Arial"/>
          <w:rtl/>
        </w:rPr>
      </w:pPr>
      <w:r>
        <w:rPr>
          <w:rFonts w:cs="Arial" w:hint="cs"/>
          <w:rtl/>
        </w:rPr>
        <w:t>אם בני הזוג החליטו בליבם להתגרש (גירושין הלכתיים)</w:t>
      </w:r>
      <w:r w:rsidR="00890953">
        <w:rPr>
          <w:rFonts w:cs="Arial" w:hint="cs"/>
          <w:rtl/>
        </w:rPr>
        <w:t xml:space="preserve"> אפילו אם הם אוהבים האחד את השנייה, </w:t>
      </w:r>
      <w:r>
        <w:rPr>
          <w:rFonts w:cs="Arial" w:hint="cs"/>
          <w:rtl/>
        </w:rPr>
        <w:t xml:space="preserve"> </w:t>
      </w:r>
      <w:r w:rsidR="001335CB">
        <w:rPr>
          <w:rFonts w:cs="Arial" w:hint="cs"/>
          <w:rtl/>
        </w:rPr>
        <w:t>ייתכן ו</w:t>
      </w:r>
      <w:r w:rsidR="00A5398C">
        <w:rPr>
          <w:rFonts w:cs="Arial" w:hint="cs"/>
          <w:rtl/>
        </w:rPr>
        <w:t xml:space="preserve">ישנו איסור לחיות חיי אישות. </w:t>
      </w:r>
      <w:r w:rsidR="00CC6E2A">
        <w:rPr>
          <w:rFonts w:cs="Arial" w:hint="cs"/>
          <w:rtl/>
        </w:rPr>
        <w:t xml:space="preserve">במסכת נדרים (דף כ ע"ב) </w:t>
      </w:r>
      <w:r w:rsidR="001B0C1F">
        <w:rPr>
          <w:rFonts w:cs="Arial" w:hint="cs"/>
          <w:rtl/>
        </w:rPr>
        <w:t xml:space="preserve">נכתב: </w:t>
      </w:r>
      <w:r w:rsidR="008446B7">
        <w:rPr>
          <w:rFonts w:cs="Arial" w:hint="cs"/>
          <w:rtl/>
        </w:rPr>
        <w:t>"</w:t>
      </w:r>
      <w:r w:rsidR="008446B7" w:rsidRPr="008446B7">
        <w:rPr>
          <w:rFonts w:cs="Arial"/>
          <w:rtl/>
        </w:rPr>
        <w:t xml:space="preserve">וברותי מכם המורדים והפושעים בי - אמר רבי לוי: אלו בני תשע מדות, בני </w:t>
      </w:r>
      <w:proofErr w:type="spellStart"/>
      <w:r w:rsidR="008446B7" w:rsidRPr="008446B7">
        <w:rPr>
          <w:rFonts w:cs="Arial"/>
          <w:rtl/>
        </w:rPr>
        <w:t>אסנ"ת</w:t>
      </w:r>
      <w:proofErr w:type="spellEnd"/>
      <w:r w:rsidR="008446B7" w:rsidRPr="008446B7">
        <w:rPr>
          <w:rFonts w:cs="Arial"/>
          <w:rtl/>
        </w:rPr>
        <w:t xml:space="preserve"> </w:t>
      </w:r>
      <w:proofErr w:type="spellStart"/>
      <w:r w:rsidR="008446B7" w:rsidRPr="008446B7">
        <w:rPr>
          <w:rFonts w:cs="Arial"/>
          <w:rtl/>
        </w:rPr>
        <w:t>משגע"ח</w:t>
      </w:r>
      <w:proofErr w:type="spellEnd"/>
      <w:r w:rsidR="008446B7" w:rsidRPr="008446B7">
        <w:rPr>
          <w:rFonts w:cs="Arial"/>
          <w:rtl/>
        </w:rPr>
        <w:t xml:space="preserve">: </w:t>
      </w:r>
      <w:r w:rsidR="008446B7">
        <w:rPr>
          <w:rFonts w:cs="Arial" w:hint="cs"/>
          <w:rtl/>
        </w:rPr>
        <w:t>...</w:t>
      </w:r>
      <w:r w:rsidR="008446B7" w:rsidRPr="008446B7">
        <w:rPr>
          <w:rFonts w:cs="Arial"/>
          <w:rtl/>
        </w:rPr>
        <w:t>בני גרושת הלב</w:t>
      </w:r>
      <w:r w:rsidR="008446B7">
        <w:rPr>
          <w:rFonts w:cs="Arial" w:hint="cs"/>
          <w:rtl/>
        </w:rPr>
        <w:t xml:space="preserve">... " </w:t>
      </w:r>
      <w:r w:rsidR="00845222">
        <w:rPr>
          <w:rFonts w:cs="Arial" w:hint="cs"/>
          <w:rtl/>
        </w:rPr>
        <w:t>הסביר הר"ן: "</w:t>
      </w:r>
      <w:r w:rsidR="00845222" w:rsidRPr="00845222">
        <w:rPr>
          <w:rFonts w:cs="Arial"/>
          <w:rtl/>
        </w:rPr>
        <w:t>שגמר ב</w:t>
      </w:r>
      <w:proofErr w:type="spellStart"/>
      <w:r w:rsidR="00845222" w:rsidRPr="00845222">
        <w:rPr>
          <w:rFonts w:cs="Arial"/>
          <w:rtl/>
        </w:rPr>
        <w:t>לבו</w:t>
      </w:r>
      <w:proofErr w:type="spellEnd"/>
      <w:r w:rsidR="00845222" w:rsidRPr="00845222">
        <w:rPr>
          <w:rFonts w:cs="Arial"/>
          <w:rtl/>
        </w:rPr>
        <w:t xml:space="preserve"> לגרשה</w:t>
      </w:r>
      <w:r w:rsidR="005055CA">
        <w:rPr>
          <w:rFonts w:cs="Arial" w:hint="cs"/>
          <w:rtl/>
        </w:rPr>
        <w:t>"</w:t>
      </w:r>
      <w:r w:rsidR="00845222" w:rsidRPr="00845222">
        <w:rPr>
          <w:rFonts w:cs="Arial"/>
          <w:rtl/>
        </w:rPr>
        <w:t>.</w:t>
      </w:r>
      <w:r w:rsidR="005055CA">
        <w:rPr>
          <w:rFonts w:cs="Arial" w:hint="cs"/>
          <w:rtl/>
        </w:rPr>
        <w:t xml:space="preserve"> </w:t>
      </w:r>
      <w:r w:rsidR="00A7517E">
        <w:rPr>
          <w:rFonts w:cs="Arial" w:hint="cs"/>
          <w:rtl/>
        </w:rPr>
        <w:t xml:space="preserve">הפוסקים דנו בפרטי הדין של גרושת הלב: האם אסור לחיות איתה חיי אישות או רק הילדים פגומים? האם אסור רק כאשר האישה לא מודעת לכוונתו או אפילו אם האישה מודעת? </w:t>
      </w:r>
      <w:r w:rsidR="001335CB">
        <w:rPr>
          <w:rFonts w:cs="Arial" w:hint="cs"/>
          <w:rtl/>
        </w:rPr>
        <w:t xml:space="preserve">האם רק כאשר בדעת הבעל להתחתן עם אחרת או לא? </w:t>
      </w:r>
      <w:r w:rsidR="00FA35B4">
        <w:rPr>
          <w:rFonts w:cs="Arial" w:hint="cs"/>
          <w:rtl/>
        </w:rPr>
        <w:t>(ראו בתשובת יביע אומר חלק ה אבן העזר סימן יח אות ה)</w:t>
      </w:r>
      <w:r w:rsidR="00890953">
        <w:rPr>
          <w:rFonts w:cs="Arial" w:hint="cs"/>
          <w:rtl/>
        </w:rPr>
        <w:t xml:space="preserve">. </w:t>
      </w:r>
      <w:r w:rsidR="00216244">
        <w:rPr>
          <w:rFonts w:cs="Arial" w:hint="cs"/>
          <w:rtl/>
        </w:rPr>
        <w:t xml:space="preserve">אולם </w:t>
      </w:r>
      <w:r w:rsidR="00361FB2">
        <w:rPr>
          <w:rFonts w:cs="Arial" w:hint="cs"/>
          <w:rtl/>
        </w:rPr>
        <w:t>לכתחילה ודאי שיש להימנע ממציאות כזאת</w:t>
      </w:r>
      <w:r w:rsidR="00F31D7F">
        <w:rPr>
          <w:rFonts w:cs="Arial" w:hint="cs"/>
          <w:rtl/>
        </w:rPr>
        <w:t xml:space="preserve">. </w:t>
      </w:r>
    </w:p>
    <w:p w14:paraId="4D46DA09" w14:textId="08EAB6C1" w:rsidR="00A7517E" w:rsidRPr="00F31D7F" w:rsidRDefault="00F31D7F" w:rsidP="00845222">
      <w:pPr>
        <w:rPr>
          <w:rFonts w:cs="Arial"/>
          <w:b/>
          <w:bCs/>
          <w:rtl/>
        </w:rPr>
      </w:pPr>
      <w:r w:rsidRPr="00F31D7F">
        <w:rPr>
          <w:rFonts w:cs="Arial" w:hint="cs"/>
          <w:b/>
          <w:bCs/>
          <w:rtl/>
        </w:rPr>
        <w:t>ג. חשש עברה</w:t>
      </w:r>
    </w:p>
    <w:p w14:paraId="3B3C70AA" w14:textId="77777777" w:rsidR="009D5F76" w:rsidRDefault="00EB1FDE" w:rsidP="007317F9">
      <w:pPr>
        <w:rPr>
          <w:rFonts w:cs="Arial"/>
          <w:rtl/>
        </w:rPr>
      </w:pPr>
      <w:r>
        <w:rPr>
          <w:rFonts w:cs="Arial" w:hint="cs"/>
          <w:rtl/>
        </w:rPr>
        <w:t>להשאיר את המצב כפי שהוא</w:t>
      </w:r>
      <w:r w:rsidR="00282BA0">
        <w:rPr>
          <w:rFonts w:cs="Arial" w:hint="cs"/>
          <w:rtl/>
        </w:rPr>
        <w:t>, שאישה גרושה אזרחית ועדיין בני הזוג חיים יחד</w:t>
      </w:r>
      <w:r w:rsidR="005D1A41">
        <w:rPr>
          <w:rFonts w:cs="Arial" w:hint="cs"/>
          <w:rtl/>
        </w:rPr>
        <w:t xml:space="preserve">, הוא מצב </w:t>
      </w:r>
      <w:r w:rsidR="009D5F76">
        <w:rPr>
          <w:rFonts w:cs="Arial" w:hint="cs"/>
          <w:rtl/>
        </w:rPr>
        <w:t>בעייתי מכיוונים נוספים:</w:t>
      </w:r>
    </w:p>
    <w:p w14:paraId="1BA6FDBE" w14:textId="1DD2A4F5" w:rsidR="00282BA0" w:rsidRDefault="009D5F76" w:rsidP="007317F9">
      <w:pPr>
        <w:rPr>
          <w:rFonts w:cs="Arial"/>
          <w:rtl/>
        </w:rPr>
      </w:pPr>
      <w:r>
        <w:rPr>
          <w:rFonts w:cs="Arial" w:hint="cs"/>
          <w:rtl/>
        </w:rPr>
        <w:t xml:space="preserve">1) </w:t>
      </w:r>
      <w:r w:rsidR="00282BA0">
        <w:rPr>
          <w:rFonts w:cs="Arial" w:hint="cs"/>
          <w:rtl/>
        </w:rPr>
        <w:t>אולי בגלל מעשי הבעל</w:t>
      </w:r>
      <w:r w:rsidR="00EB1FDE">
        <w:rPr>
          <w:rFonts w:cs="Arial" w:hint="cs"/>
          <w:rtl/>
        </w:rPr>
        <w:t>-</w:t>
      </w:r>
      <w:r w:rsidR="00282BA0">
        <w:rPr>
          <w:rFonts w:cs="Arial" w:hint="cs"/>
          <w:rtl/>
        </w:rPr>
        <w:t xml:space="preserve"> האישה לא מצליחה להתחתן בצורה ראויה פעם נוספת, ולהשאיר אותה כך</w:t>
      </w:r>
      <w:r w:rsidR="00EB1FDE">
        <w:rPr>
          <w:rFonts w:cs="Arial" w:hint="cs"/>
          <w:rtl/>
        </w:rPr>
        <w:t>-</w:t>
      </w:r>
      <w:r w:rsidR="00282BA0">
        <w:rPr>
          <w:rFonts w:cs="Arial" w:hint="cs"/>
          <w:rtl/>
        </w:rPr>
        <w:t xml:space="preserve"> ז</w:t>
      </w:r>
      <w:r w:rsidR="00EB1FDE">
        <w:rPr>
          <w:rFonts w:cs="Arial" w:hint="cs"/>
          <w:rtl/>
        </w:rPr>
        <w:t>ו</w:t>
      </w:r>
      <w:r w:rsidR="00282BA0">
        <w:rPr>
          <w:rFonts w:cs="Arial" w:hint="cs"/>
          <w:rtl/>
        </w:rPr>
        <w:t xml:space="preserve"> מציאות לא מוסרית כלפיה. </w:t>
      </w:r>
    </w:p>
    <w:p w14:paraId="3865D1CD" w14:textId="743D6388" w:rsidR="00282BA0" w:rsidRDefault="00E25ADB" w:rsidP="007317F9">
      <w:pPr>
        <w:rPr>
          <w:rFonts w:cs="Arial"/>
          <w:rtl/>
        </w:rPr>
      </w:pPr>
      <w:r>
        <w:rPr>
          <w:rFonts w:cs="Arial" w:hint="cs"/>
          <w:rtl/>
        </w:rPr>
        <w:t xml:space="preserve">2) </w:t>
      </w:r>
      <w:r w:rsidR="00282BA0">
        <w:rPr>
          <w:rFonts w:cs="Arial" w:hint="cs"/>
          <w:rtl/>
        </w:rPr>
        <w:t xml:space="preserve">מציאות כזאת של אישה שהיא 'נשואה ולא נשואה' </w:t>
      </w:r>
      <w:r>
        <w:rPr>
          <w:rFonts w:cs="Arial" w:hint="cs"/>
          <w:rtl/>
        </w:rPr>
        <w:t xml:space="preserve">עלולה לגרום לתקלה חמורה. </w:t>
      </w:r>
      <w:r w:rsidR="00AA400F">
        <w:rPr>
          <w:rFonts w:cs="Arial" w:hint="cs"/>
          <w:rtl/>
        </w:rPr>
        <w:t xml:space="preserve">פעמים רבות האישה סבורה </w:t>
      </w:r>
      <w:r w:rsidR="00EB1FDE">
        <w:rPr>
          <w:rFonts w:cs="Arial" w:hint="cs"/>
          <w:rtl/>
        </w:rPr>
        <w:t xml:space="preserve">שבגלל הגירושין האזרחיים היא כבר לא נשואה, וכמו שכתב </w:t>
      </w:r>
      <w:r w:rsidR="00AA400F">
        <w:rPr>
          <w:rFonts w:cs="Arial" w:hint="cs"/>
          <w:rtl/>
        </w:rPr>
        <w:t xml:space="preserve">שו"ת </w:t>
      </w:r>
      <w:r w:rsidR="00EB1FDE">
        <w:rPr>
          <w:rFonts w:cs="Arial" w:hint="cs"/>
          <w:rtl/>
        </w:rPr>
        <w:t xml:space="preserve">ציץ אליעזר (שם): </w:t>
      </w:r>
      <w:r w:rsidR="00EB1FDE">
        <w:rPr>
          <w:rFonts w:cs="Arial" w:hint="cs"/>
          <w:rtl/>
        </w:rPr>
        <w:lastRenderedPageBreak/>
        <w:t xml:space="preserve">"... </w:t>
      </w:r>
      <w:r w:rsidR="00EB1FDE">
        <w:rPr>
          <w:rFonts w:cs="Arial"/>
          <w:rtl/>
        </w:rPr>
        <w:t xml:space="preserve">ולהוציא מלב תועים ומתעים שחושבים בדעתם הדלה שיש איזה ממשות ע"פ </w:t>
      </w:r>
      <w:proofErr w:type="spellStart"/>
      <w:r w:rsidR="00EB1FDE">
        <w:rPr>
          <w:rFonts w:cs="Arial"/>
          <w:rtl/>
        </w:rPr>
        <w:t>ד"ת</w:t>
      </w:r>
      <w:proofErr w:type="spellEnd"/>
      <w:r w:rsidR="00EB1FDE">
        <w:rPr>
          <w:rFonts w:cs="Arial"/>
          <w:rtl/>
        </w:rPr>
        <w:t xml:space="preserve"> בגירושין אזרחיים, וידעו כולם ברור שלפי הדין אין ממש בגירושין – אזרחיים</w:t>
      </w:r>
      <w:r w:rsidR="00EB1FDE">
        <w:rPr>
          <w:rFonts w:cs="Arial" w:hint="cs"/>
          <w:rtl/>
        </w:rPr>
        <w:t xml:space="preserve">", </w:t>
      </w:r>
      <w:r w:rsidR="00AA400F">
        <w:rPr>
          <w:rFonts w:cs="Arial" w:hint="cs"/>
          <w:rtl/>
        </w:rPr>
        <w:t>מכאן</w:t>
      </w:r>
      <w:r w:rsidR="00EB1FDE">
        <w:rPr>
          <w:rFonts w:cs="Arial" w:hint="cs"/>
          <w:rtl/>
        </w:rPr>
        <w:t xml:space="preserve"> </w:t>
      </w:r>
      <w:r w:rsidR="00AA400F">
        <w:rPr>
          <w:rFonts w:cs="Arial" w:hint="cs"/>
          <w:rtl/>
        </w:rPr>
        <w:t>ש</w:t>
      </w:r>
      <w:r w:rsidR="00EB1FDE">
        <w:rPr>
          <w:rFonts w:cs="Arial" w:hint="cs"/>
          <w:rtl/>
        </w:rPr>
        <w:t xml:space="preserve">אנשים רבים סבורים שגירושין אזרחיים תקפים על פי הדין ועלולה לצאת מכך תקלה. </w:t>
      </w:r>
    </w:p>
    <w:p w14:paraId="6F9BFBB9" w14:textId="7F188F1B" w:rsidR="007317F9" w:rsidRPr="007317F9" w:rsidRDefault="00EB1FDE" w:rsidP="007317F9">
      <w:r w:rsidRPr="00EB1FDE">
        <w:rPr>
          <w:rFonts w:cs="Arial" w:hint="cs"/>
          <w:b/>
          <w:bCs/>
          <w:rtl/>
        </w:rPr>
        <w:t>למסקנה</w:t>
      </w:r>
      <w:r>
        <w:rPr>
          <w:rFonts w:cs="Arial" w:hint="cs"/>
          <w:rtl/>
        </w:rPr>
        <w:t xml:space="preserve">, </w:t>
      </w:r>
      <w:r w:rsidRPr="00822C98">
        <w:rPr>
          <w:rFonts w:cs="Arial" w:hint="cs"/>
          <w:b/>
          <w:bCs/>
          <w:rtl/>
        </w:rPr>
        <w:t xml:space="preserve">האישה </w:t>
      </w:r>
      <w:r w:rsidR="0073731D">
        <w:rPr>
          <w:rFonts w:cs="Arial" w:hint="cs"/>
          <w:b/>
          <w:bCs/>
          <w:rtl/>
        </w:rPr>
        <w:t>נשואה</w:t>
      </w:r>
      <w:r w:rsidRPr="00822C98">
        <w:rPr>
          <w:rFonts w:cs="Arial" w:hint="cs"/>
          <w:b/>
          <w:bCs/>
          <w:rtl/>
        </w:rPr>
        <w:t xml:space="preserve"> לבעלה, אך </w:t>
      </w:r>
      <w:r w:rsidR="0073731D">
        <w:rPr>
          <w:rFonts w:hint="cs"/>
          <w:b/>
          <w:bCs/>
          <w:rtl/>
        </w:rPr>
        <w:t xml:space="preserve">המשך </w:t>
      </w:r>
      <w:r w:rsidR="001C1842">
        <w:rPr>
          <w:rFonts w:hint="cs"/>
          <w:b/>
          <w:bCs/>
          <w:rtl/>
        </w:rPr>
        <w:t xml:space="preserve">חיי האישות ביניהם </w:t>
      </w:r>
      <w:r w:rsidR="009671E7">
        <w:rPr>
          <w:rFonts w:hint="cs"/>
          <w:b/>
          <w:bCs/>
          <w:rtl/>
        </w:rPr>
        <w:t>הוא בעייתי</w:t>
      </w:r>
      <w:r w:rsidR="002B6787">
        <w:rPr>
          <w:rFonts w:hint="cs"/>
          <w:b/>
          <w:bCs/>
          <w:rtl/>
        </w:rPr>
        <w:t xml:space="preserve">. </w:t>
      </w:r>
    </w:p>
    <w:sectPr w:rsidR="007317F9" w:rsidRPr="007317F9" w:rsidSect="004E58A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8EEB" w14:textId="77777777" w:rsidR="0056099E" w:rsidRDefault="0056099E" w:rsidP="00D74489">
      <w:pPr>
        <w:spacing w:line="240" w:lineRule="auto"/>
      </w:pPr>
      <w:r>
        <w:separator/>
      </w:r>
    </w:p>
  </w:endnote>
  <w:endnote w:type="continuationSeparator" w:id="0">
    <w:p w14:paraId="30A7561A" w14:textId="77777777" w:rsidR="0056099E" w:rsidRDefault="0056099E" w:rsidP="00D74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836A" w14:textId="77777777" w:rsidR="0056099E" w:rsidRDefault="0056099E" w:rsidP="00D74489">
      <w:pPr>
        <w:spacing w:line="240" w:lineRule="auto"/>
      </w:pPr>
      <w:r>
        <w:separator/>
      </w:r>
    </w:p>
  </w:footnote>
  <w:footnote w:type="continuationSeparator" w:id="0">
    <w:p w14:paraId="18CB0553" w14:textId="77777777" w:rsidR="0056099E" w:rsidRDefault="0056099E" w:rsidP="00D74489">
      <w:pPr>
        <w:spacing w:line="240" w:lineRule="auto"/>
      </w:pPr>
      <w:r>
        <w:continuationSeparator/>
      </w:r>
    </w:p>
  </w:footnote>
  <w:footnote w:id="1">
    <w:p w14:paraId="68435B8C" w14:textId="6F3EAACB" w:rsidR="00EB1FDE" w:rsidRDefault="00EB1FDE">
      <w:pPr>
        <w:pStyle w:val="a7"/>
      </w:pPr>
      <w:r>
        <w:rPr>
          <w:rStyle w:val="a9"/>
        </w:rPr>
        <w:footnoteRef/>
      </w:r>
      <w:r>
        <w:rPr>
          <w:rtl/>
        </w:rPr>
        <w:t xml:space="preserve"> </w:t>
      </w:r>
      <w:r w:rsidRPr="00EB1FDE">
        <w:rPr>
          <w:rFonts w:cs="Arial"/>
          <w:rtl/>
        </w:rPr>
        <w:t xml:space="preserve">ובעניין ירושה ראו שורת הדין כרך ב' מעמוד </w:t>
      </w:r>
      <w:proofErr w:type="spellStart"/>
      <w:r w:rsidRPr="00EB1FDE">
        <w:rPr>
          <w:rFonts w:cs="Arial"/>
          <w:rtl/>
        </w:rPr>
        <w:t>רסה</w:t>
      </w:r>
      <w:proofErr w:type="spellEnd"/>
      <w:r w:rsidRPr="00EB1FDE">
        <w:rPr>
          <w:rFonts w:cs="Arial"/>
          <w:rtl/>
        </w:rPr>
        <w:t xml:space="preserve"> שהרב </w:t>
      </w:r>
      <w:proofErr w:type="spellStart"/>
      <w:r w:rsidRPr="00EB1FDE">
        <w:rPr>
          <w:rFonts w:cs="Arial"/>
          <w:rtl/>
        </w:rPr>
        <w:t>אליעזרוב</w:t>
      </w:r>
      <w:proofErr w:type="spellEnd"/>
      <w:r w:rsidRPr="00EB1FDE">
        <w:rPr>
          <w:rFonts w:cs="Arial"/>
          <w:rtl/>
        </w:rPr>
        <w:t xml:space="preserve"> </w:t>
      </w:r>
      <w:r>
        <w:rPr>
          <w:rFonts w:cs="Arial" w:hint="cs"/>
          <w:rtl/>
        </w:rPr>
        <w:t xml:space="preserve">ז"ל </w:t>
      </w:r>
      <w:r w:rsidRPr="00EB1FDE">
        <w:rPr>
          <w:rFonts w:cs="Arial"/>
          <w:rtl/>
        </w:rPr>
        <w:t>סבר במקרה שהובא לפניו מספר סברות לומר שהבעל לא יירש אחרי גירושין אזרחיים</w:t>
      </w:r>
      <w:r>
        <w:rPr>
          <w:rFonts w:cs="Arial" w:hint="cs"/>
          <w:rtl/>
        </w:rPr>
        <w:t>, אך כאמור אין מקרה זה דומה למקרה שלנו</w:t>
      </w:r>
      <w:r w:rsidRPr="00EB1FDE">
        <w:rPr>
          <w:rFonts w:cs="Arial"/>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F9"/>
    <w:rsid w:val="00013069"/>
    <w:rsid w:val="001335CB"/>
    <w:rsid w:val="001B0C1F"/>
    <w:rsid w:val="001C1842"/>
    <w:rsid w:val="00216244"/>
    <w:rsid w:val="00282BA0"/>
    <w:rsid w:val="002B6787"/>
    <w:rsid w:val="00307371"/>
    <w:rsid w:val="00361FB2"/>
    <w:rsid w:val="0042245E"/>
    <w:rsid w:val="004C5E7F"/>
    <w:rsid w:val="004E58A6"/>
    <w:rsid w:val="005055CA"/>
    <w:rsid w:val="0056099E"/>
    <w:rsid w:val="005D1A41"/>
    <w:rsid w:val="0062544E"/>
    <w:rsid w:val="0070652F"/>
    <w:rsid w:val="007317F9"/>
    <w:rsid w:val="0073731D"/>
    <w:rsid w:val="007F5A88"/>
    <w:rsid w:val="00822C98"/>
    <w:rsid w:val="008279CD"/>
    <w:rsid w:val="008446B7"/>
    <w:rsid w:val="00845222"/>
    <w:rsid w:val="00890953"/>
    <w:rsid w:val="00915675"/>
    <w:rsid w:val="00954EA2"/>
    <w:rsid w:val="009671E7"/>
    <w:rsid w:val="009B6058"/>
    <w:rsid w:val="009D5F76"/>
    <w:rsid w:val="00A52099"/>
    <w:rsid w:val="00A5398C"/>
    <w:rsid w:val="00A7517E"/>
    <w:rsid w:val="00AA400F"/>
    <w:rsid w:val="00BB665D"/>
    <w:rsid w:val="00BF7D67"/>
    <w:rsid w:val="00CC6E2A"/>
    <w:rsid w:val="00D70315"/>
    <w:rsid w:val="00D74489"/>
    <w:rsid w:val="00DC79E1"/>
    <w:rsid w:val="00E25ADB"/>
    <w:rsid w:val="00EB1FDE"/>
    <w:rsid w:val="00F31D7F"/>
    <w:rsid w:val="00F41BE5"/>
    <w:rsid w:val="00F86AD4"/>
    <w:rsid w:val="00FA35B4"/>
    <w:rsid w:val="00FC52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6195"/>
  <w15:chartTrackingRefBased/>
  <w15:docId w15:val="{A1F62985-2484-4B6A-BC58-369D8DC3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17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B1F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חידושים"/>
    <w:basedOn w:val="a"/>
    <w:link w:val="a4"/>
    <w:autoRedefine/>
    <w:qFormat/>
    <w:rsid w:val="00DC79E1"/>
    <w:rPr>
      <w:rFonts w:cs="Guttman Yad-Brush"/>
      <w:szCs w:val="16"/>
    </w:rPr>
  </w:style>
  <w:style w:type="character" w:customStyle="1" w:styleId="a4">
    <w:name w:val="חידושים תו"/>
    <w:basedOn w:val="a0"/>
    <w:link w:val="a3"/>
    <w:rsid w:val="00DC79E1"/>
    <w:rPr>
      <w:rFonts w:cs="Guttman Yad-Brush"/>
      <w:szCs w:val="16"/>
    </w:rPr>
  </w:style>
  <w:style w:type="paragraph" w:customStyle="1" w:styleId="a5">
    <w:name w:val="רמא"/>
    <w:basedOn w:val="a"/>
    <w:link w:val="a6"/>
    <w:qFormat/>
    <w:rsid w:val="00A52099"/>
    <w:rPr>
      <w:rFonts w:cs="Guttman Rashi"/>
    </w:rPr>
  </w:style>
  <w:style w:type="character" w:customStyle="1" w:styleId="a6">
    <w:name w:val="רמא תו"/>
    <w:basedOn w:val="a0"/>
    <w:link w:val="a5"/>
    <w:rsid w:val="00A52099"/>
    <w:rPr>
      <w:rFonts w:cs="Guttman Rashi"/>
    </w:rPr>
  </w:style>
  <w:style w:type="character" w:customStyle="1" w:styleId="10">
    <w:name w:val="כותרת 1 תו"/>
    <w:basedOn w:val="a0"/>
    <w:link w:val="1"/>
    <w:uiPriority w:val="9"/>
    <w:rsid w:val="007317F9"/>
    <w:rPr>
      <w:rFonts w:asciiTheme="majorHAnsi" w:eastAsiaTheme="majorEastAsia" w:hAnsiTheme="majorHAnsi" w:cstheme="majorBidi"/>
      <w:color w:val="2F5496" w:themeColor="accent1" w:themeShade="BF"/>
      <w:sz w:val="32"/>
      <w:szCs w:val="32"/>
    </w:rPr>
  </w:style>
  <w:style w:type="paragraph" w:styleId="a7">
    <w:name w:val="footnote text"/>
    <w:basedOn w:val="a"/>
    <w:link w:val="a8"/>
    <w:uiPriority w:val="99"/>
    <w:semiHidden/>
    <w:unhideWhenUsed/>
    <w:rsid w:val="00D74489"/>
    <w:pPr>
      <w:spacing w:line="240" w:lineRule="auto"/>
    </w:pPr>
    <w:rPr>
      <w:sz w:val="20"/>
      <w:szCs w:val="20"/>
    </w:rPr>
  </w:style>
  <w:style w:type="character" w:customStyle="1" w:styleId="a8">
    <w:name w:val="טקסט הערת שוליים תו"/>
    <w:basedOn w:val="a0"/>
    <w:link w:val="a7"/>
    <w:uiPriority w:val="99"/>
    <w:semiHidden/>
    <w:rsid w:val="00D74489"/>
    <w:rPr>
      <w:sz w:val="20"/>
      <w:szCs w:val="20"/>
    </w:rPr>
  </w:style>
  <w:style w:type="character" w:styleId="a9">
    <w:name w:val="footnote reference"/>
    <w:basedOn w:val="a0"/>
    <w:uiPriority w:val="99"/>
    <w:semiHidden/>
    <w:unhideWhenUsed/>
    <w:rsid w:val="00D74489"/>
    <w:rPr>
      <w:vertAlign w:val="superscript"/>
    </w:rPr>
  </w:style>
  <w:style w:type="character" w:customStyle="1" w:styleId="20">
    <w:name w:val="כותרת 2 תו"/>
    <w:basedOn w:val="a0"/>
    <w:link w:val="2"/>
    <w:uiPriority w:val="9"/>
    <w:rsid w:val="00EB1FD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416</Words>
  <Characters>2085</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עמוס ראבילו</dc:creator>
  <cp:keywords/>
  <dc:description/>
  <cp:lastModifiedBy>עמוס ראבילו</cp:lastModifiedBy>
  <cp:revision>32</cp:revision>
  <dcterms:created xsi:type="dcterms:W3CDTF">2024-12-24T08:04:00Z</dcterms:created>
  <dcterms:modified xsi:type="dcterms:W3CDTF">2024-12-26T10:50:00Z</dcterms:modified>
</cp:coreProperties>
</file>